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431" w:rsidRDefault="00683431" w:rsidP="00683431">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Health and inequality can cross all sorts of barriers; however, in most cases, social-economically, it can have adverse effects on minorities. In most cases, health is an issue with all people, overeating to not eating enough. But several stressors can affect people in many ways. For example, when my husband died, unknowingly, my stress level elevated so high that I became an angry, upset person at the drop of a hat. In my eyes, I was alright, but it took a therapist to help me realize that I was not.</w:t>
      </w:r>
    </w:p>
    <w:p w:rsidR="00683431" w:rsidRDefault="00683431" w:rsidP="00683431">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 The results was the fact that I was trying to stay vital for everyone else, that I fail to grieve, and that grief came out in various ways in which, at first, I was not aware. For the most part, it did not affect my physical health, but it did affect my mental health. After implementing grief counselling, it seems to subside. But that is not always the case. Some may experience fatigue, loss or gaining weight, pain, hair falling out or greying before time, teeth falling out, drug abuse, including prescription drugs.</w:t>
      </w:r>
    </w:p>
    <w:p w:rsidR="00683431" w:rsidRDefault="00683431" w:rsidP="00683431">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 xml:space="preserve">I am grateful that I have a job that offers free counselling, and the other therapist, my church, paid the bill. After counselling for many months, I began to see the light by grieving when my heart was heavy and happy when my heart was merry—not pretend that it did not hurt but adjust when needed. Again, I can say that I am fortunate enough to have these resources, but it may be even harder to change for those who do not. </w:t>
      </w:r>
      <w:r>
        <w:rPr>
          <w:rFonts w:ascii="Arial" w:hAnsi="Arial" w:cs="Arial"/>
          <w:color w:val="001847"/>
          <w:sz w:val="38"/>
          <w:szCs w:val="38"/>
        </w:rPr>
        <w:lastRenderedPageBreak/>
        <w:t>You can say that our health system does not always cover needed medical care, but it is far better than in other countries. At least, I hope so.</w:t>
      </w:r>
    </w:p>
    <w:p w:rsidR="00115D54" w:rsidRDefault="00115D54"/>
    <w:sectPr w:rsidR="00115D54" w:rsidSect="00115D5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compat/>
  <w:rsids>
    <w:rsidRoot w:val="00683431"/>
    <w:rsid w:val="00115D54"/>
    <w:rsid w:val="006834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D5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8343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7579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239</Words>
  <Characters>1364</Characters>
  <Application>Microsoft Office Word</Application>
  <DocSecurity>0</DocSecurity>
  <Lines>11</Lines>
  <Paragraphs>3</Paragraphs>
  <ScaleCrop>false</ScaleCrop>
  <Company/>
  <LinksUpToDate>false</LinksUpToDate>
  <CharactersWithSpaces>1600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2021-04-01T06:04:00Z</dcterms:created>
  <dcterms:modified xsi:type="dcterms:W3CDTF">2021-04-01T06:04:00Z</dcterms:modified>
</cp:coreProperties>
</file>